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SG_VERSICHERUNGSGERICHT UV 2018/64 vom 12. Mai 2020</w:t>
      </w:r>
    </w:p>
    <w:p>
      <w:r>
        <w:t>Sg Versicherungsgericht, 2020-05-12, DE</w:t>
      </w:r>
    </w:p>
    <w:p>
      <w:r>
        <w:rPr>
          <w:b/>
        </w:rPr>
        <w:t xml:space="preserve">Quelle: </w:t>
      </w:r>
      <w:r>
        <w:t>https://mcp.opencaselaw.ch/entscheid/sg_publikationen_UV 2018_64</w:t>
      </w:r>
    </w:p>
    <w:p>
      <w:r>
        <w:t>FR: SG_VERSICHERUNGSGERICHT UV 2018/64 du 12 mai 2020</w:t>
      </w:r>
    </w:p>
    <w:p>
      <w:r>
        <w:t>IT: SG_VERSICHERUNGSGERICHT UV 2018/64 del 12 maggio 2020</w:t>
      </w:r>
    </w:p>
    <w:p>
      <w:pPr>
        <w:pStyle w:val="Heading2"/>
      </w:pPr>
      <w:r>
        <w:t>Regeste</w:t>
      </w:r>
    </w:p>
    <w:p>
      <w:r>
        <w:t>Art. 34 ATSG: Die Beschwerdegegnerin war nur als Krankenversicherer Verfahrenspartei im Verwaltungsverfahren. Nichteintreten auf unfallversicherungsrechtliche und privatrechtliche Anträge des Beschwerdeführers. Art. 102 Abs. 4 letzter Satz KVG: Grundsatz der Versicherungsdeckung. Der im Jahr 1965 eingetretene Unfall ist nicht während der Versicherungsdeckung bei der Beschwerdegegnerin eingetreten. Art. 1a Abs. 2 lit. b KVG: Verneinung der Versicherungsdeckung für die Unfallfolgen. Art. 1a Abs. 2 lit. a KVG: Versicherungsdeckung betreffend die Behandlung einer krankheitsbedingten Parodontitis zwar bejaht, konkrete Voraussetzungen für eine Leistungspflicht indessen verneint (Entscheid des Versicherungsgerichts des Kantons St. Gallen vom 12. Mai 2020, UV 2018/64 und KV 2020/8).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Präpubertäre Parodontitis,</w:t>
      </w:r>
    </w:p>
    <w:p>
      <w:r>
        <w:rPr>
          <w:b/>
        </w:rPr>
        <w:t>E. 2</w:t>
      </w:r>
    </w:p>
    <w:p>
      <w:r>
        <w:t>Juvenile, progressive Parodontitis,</w:t>
      </w:r>
    </w:p>
    <w:p>
      <w:r>
        <w:rPr>
          <w:b/>
        </w:rPr>
        <w:t>E. 3</w:t>
      </w:r>
    </w:p>
    <w:p>
      <w:r>
        <w:t>Irreversible Nebenwirkungen von Medikamenten.</w:t>
      </w:r>
    </w:p>
    <w:p>
      <w:r>
        <w:rPr>
          <w:b/>
        </w:rPr>
        <w:t>E. 3.9</w:t>
      </w:r>
    </w:p>
    <w:p>
      <w:r>
        <w:t>Vorliegend kann aufgrund des fortgeschrittenen Alters des Beschwerdeführers (Jahrgang 195_) ausgeschlossen werden, dass eine Erkrankung im Sinn von Art. 17 lit. b Ziff. 1 und 2 KLV vorliegt. Dafür, dass irreversible Medikamentennebenwirkungen bestünden, fehlen Hinweise in den Akten, und es wird seitens des Beschwerdeführers auch nichts derartiges vorgebracht. Kausystemschäden, die sich mit guter Mund- und Zahnhygiene vermeiden lassen, insbesondere Karies und Parodontitis, sollen dagegen von der Versicherungsdeckung ausgeschlossen werden (BGE 125 V 16, 19 Erw. 3a). Da vorliegend - wie Dr. E.___ in seiner Beurteilung vom 2. Juni 2017 festgestellt hat (act. G 3.22) - davon auszugehen ist, dass eine solche vermeidbare Parodontitis vorliegt, wogegen der Rechtsvertreter des Beschwerdeführers auch keinerlei Einwendungen erhebt, hätte die Beschwerdegegnerin - soweit die durch Dr. C.___ im März und April 2016, im Oktober und November 2016, im Januar sowie im Mai 2017 durchgeführten Zahnbehandlungen die Behandlung eine Parodontitis betroffen haben - Leistungen zurecht verneint.</w:t>
      </w:r>
    </w:p>
    <w:p>
      <w:r>
        <w:rPr>
          <w:b/>
        </w:rPr>
        <w:t>E. 3.10</w:t>
      </w:r>
    </w:p>
    <w:p>
      <w:r>
        <w:t>Zusammenfassend ist somit festzuhalten, dass die Beschwerdegegnerin als Krankenversicherer für die vom Beschwerdeführer geltend gemachten zahnärztlichen Behandlungskosten nicht aufzukommen hat.</w:t>
      </w:r>
    </w:p>
    <w:p>
      <w:r>
        <w:rPr>
          <w:b/>
        </w:rPr>
        <w:t>E. 4</w:t>
      </w:r>
    </w:p>
    <w:p>
      <w:r>
        <w:t>Im Sinn der vorstehenden Erwägungen ist die Beschwerde abzuweisen, soweit darauf einzutreten ist. Gerichtkosten sind keine zu erheben (Art. 61 lit. a ATSG). Ausgangsgemäss hat der Beschwerdeführer keinen Anspruch auf eine Parteientschädigung. Entscheid im Zirkulationsverfahren gemäss Art. 39 VRP Die Beschwerde wird abgewiesen, soweit darauf eingetreten wird. Es werden keine Gerichtskosten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